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D762F" w14:textId="77777777" w:rsidR="00FB65B8" w:rsidRPr="00120E01" w:rsidRDefault="00120E01">
      <w:pPr>
        <w:pStyle w:val="Title"/>
        <w:rPr>
          <w:rFonts w:cstheme="majorHAnsi"/>
          <w:sz w:val="36"/>
          <w:szCs w:val="36"/>
        </w:rPr>
      </w:pPr>
      <w:r w:rsidRPr="00120E01">
        <w:rPr>
          <w:rFonts w:cstheme="majorHAnsi"/>
          <w:sz w:val="36"/>
          <w:szCs w:val="36"/>
        </w:rPr>
        <w:t>Best Practices Guide for AI in the Workplace</w:t>
      </w:r>
    </w:p>
    <w:p w14:paraId="319BDEDD" w14:textId="77777777" w:rsidR="00FB65B8" w:rsidRPr="00120E01" w:rsidRDefault="00120E01">
      <w:pPr>
        <w:rPr>
          <w:rFonts w:asciiTheme="majorHAnsi" w:hAnsiTheme="majorHAnsi" w:cstheme="majorHAnsi"/>
        </w:rPr>
      </w:pPr>
      <w:r w:rsidRPr="00120E01">
        <w:rPr>
          <w:rFonts w:asciiTheme="majorHAnsi" w:hAnsiTheme="majorHAnsi" w:cstheme="majorHAnsi"/>
        </w:rPr>
        <w:t>This guide outlines recommended best practices for integrating and using artificial intelligence (AI</w:t>
      </w:r>
      <w:proofErr w:type="gramStart"/>
      <w:r w:rsidRPr="00120E01">
        <w:rPr>
          <w:rFonts w:asciiTheme="majorHAnsi" w:hAnsiTheme="majorHAnsi" w:cstheme="majorHAnsi"/>
        </w:rPr>
        <w:t>) responsibly</w:t>
      </w:r>
      <w:proofErr w:type="gramEnd"/>
      <w:r w:rsidRPr="00120E01">
        <w:rPr>
          <w:rFonts w:asciiTheme="majorHAnsi" w:hAnsiTheme="majorHAnsi" w:cstheme="majorHAnsi"/>
        </w:rPr>
        <w:t xml:space="preserve"> in the workplace. Following these principles helps ensure that AI tools enhance </w:t>
      </w:r>
      <w:r w:rsidRPr="00120E01">
        <w:rPr>
          <w:rFonts w:asciiTheme="majorHAnsi" w:hAnsiTheme="majorHAnsi" w:cstheme="majorHAnsi"/>
        </w:rPr>
        <w:t>productivity and innovation while minimizing ethical, legal, and operational risks.</w:t>
      </w:r>
    </w:p>
    <w:p w14:paraId="43C18C71" w14:textId="77777777" w:rsidR="00FB65B8" w:rsidRPr="00120E01" w:rsidRDefault="00120E01">
      <w:pPr>
        <w:pStyle w:val="Heading2"/>
        <w:rPr>
          <w:rFonts w:cstheme="majorHAnsi"/>
        </w:rPr>
      </w:pPr>
      <w:r w:rsidRPr="00120E01">
        <w:rPr>
          <w:rFonts w:cstheme="majorHAnsi"/>
        </w:rPr>
        <w:t>Start Small</w:t>
      </w:r>
    </w:p>
    <w:p w14:paraId="7335A1D1" w14:textId="77777777" w:rsidR="00FB65B8" w:rsidRPr="00120E01" w:rsidRDefault="00120E01">
      <w:pPr>
        <w:rPr>
          <w:rFonts w:asciiTheme="majorHAnsi" w:hAnsiTheme="majorHAnsi" w:cstheme="majorHAnsi"/>
        </w:rPr>
      </w:pPr>
      <w:r w:rsidRPr="00120E01">
        <w:rPr>
          <w:rFonts w:asciiTheme="majorHAnsi" w:hAnsiTheme="majorHAnsi" w:cstheme="majorHAnsi"/>
        </w:rPr>
        <w:t>Pilot AI tools in low-risk, non-decision-making areas (e.g., scheduling, reporting) to evaluate effectiveness and build internal experience.</w:t>
      </w:r>
    </w:p>
    <w:p w14:paraId="6B8DB5CD" w14:textId="77777777" w:rsidR="00FB65B8" w:rsidRPr="00120E01" w:rsidRDefault="00120E01">
      <w:pPr>
        <w:pStyle w:val="Heading2"/>
        <w:rPr>
          <w:rFonts w:cstheme="majorHAnsi"/>
        </w:rPr>
      </w:pPr>
      <w:r w:rsidRPr="00120E01">
        <w:rPr>
          <w:rFonts w:cstheme="majorHAnsi"/>
        </w:rPr>
        <w:t>Be Transparent</w:t>
      </w:r>
    </w:p>
    <w:p w14:paraId="36846273" w14:textId="77777777" w:rsidR="00FB65B8" w:rsidRPr="00120E01" w:rsidRDefault="00120E01">
      <w:pPr>
        <w:rPr>
          <w:rFonts w:asciiTheme="majorHAnsi" w:hAnsiTheme="majorHAnsi" w:cstheme="majorHAnsi"/>
        </w:rPr>
      </w:pPr>
      <w:r w:rsidRPr="00120E01">
        <w:rPr>
          <w:rFonts w:asciiTheme="majorHAnsi" w:hAnsiTheme="majorHAnsi" w:cstheme="majorHAnsi"/>
        </w:rPr>
        <w:t>Inform employees and stakeholders when AI is being used, especially when it affects hiring, evaluation, or decision-making.</w:t>
      </w:r>
    </w:p>
    <w:p w14:paraId="0FC19BB0" w14:textId="77777777" w:rsidR="00FB65B8" w:rsidRPr="00120E01" w:rsidRDefault="00120E01">
      <w:pPr>
        <w:pStyle w:val="Heading2"/>
        <w:rPr>
          <w:rFonts w:cstheme="majorHAnsi"/>
        </w:rPr>
      </w:pPr>
      <w:r w:rsidRPr="00120E01">
        <w:rPr>
          <w:rFonts w:cstheme="majorHAnsi"/>
        </w:rPr>
        <w:t>Keep a Human in the Loop</w:t>
      </w:r>
    </w:p>
    <w:p w14:paraId="117E7479" w14:textId="77777777" w:rsidR="00FB65B8" w:rsidRPr="00120E01" w:rsidRDefault="00120E01">
      <w:pPr>
        <w:rPr>
          <w:rFonts w:asciiTheme="majorHAnsi" w:hAnsiTheme="majorHAnsi" w:cstheme="majorHAnsi"/>
        </w:rPr>
      </w:pPr>
      <w:r w:rsidRPr="00120E01">
        <w:rPr>
          <w:rFonts w:asciiTheme="majorHAnsi" w:hAnsiTheme="majorHAnsi" w:cstheme="majorHAnsi"/>
        </w:rPr>
        <w:t>Ensure human oversight for high-impact AI decisions. AI should assist, not replace, human judgment.</w:t>
      </w:r>
    </w:p>
    <w:p w14:paraId="3B470F03" w14:textId="77777777" w:rsidR="00FB65B8" w:rsidRPr="00120E01" w:rsidRDefault="00120E01">
      <w:pPr>
        <w:pStyle w:val="Heading2"/>
        <w:rPr>
          <w:rFonts w:cstheme="majorHAnsi"/>
        </w:rPr>
      </w:pPr>
      <w:r w:rsidRPr="00120E01">
        <w:rPr>
          <w:rFonts w:cstheme="majorHAnsi"/>
        </w:rPr>
        <w:t>Test and Retest</w:t>
      </w:r>
    </w:p>
    <w:p w14:paraId="3017C3C0" w14:textId="77777777" w:rsidR="00FB65B8" w:rsidRPr="00120E01" w:rsidRDefault="00120E01">
      <w:pPr>
        <w:rPr>
          <w:rFonts w:asciiTheme="majorHAnsi" w:hAnsiTheme="majorHAnsi" w:cstheme="majorHAnsi"/>
        </w:rPr>
      </w:pPr>
      <w:r w:rsidRPr="00120E01">
        <w:rPr>
          <w:rFonts w:asciiTheme="majorHAnsi" w:hAnsiTheme="majorHAnsi" w:cstheme="majorHAnsi"/>
        </w:rPr>
        <w:t>Routinely evaluate AI outputs for accuracy, bias, and fairness. Implement audits and independent reviews.</w:t>
      </w:r>
    </w:p>
    <w:p w14:paraId="1ABD788A" w14:textId="77777777" w:rsidR="00FB65B8" w:rsidRPr="00120E01" w:rsidRDefault="00120E01">
      <w:pPr>
        <w:pStyle w:val="Heading2"/>
        <w:rPr>
          <w:rFonts w:cstheme="majorHAnsi"/>
        </w:rPr>
      </w:pPr>
      <w:r w:rsidRPr="00120E01">
        <w:rPr>
          <w:rFonts w:cstheme="majorHAnsi"/>
        </w:rPr>
        <w:t>Document Everything</w:t>
      </w:r>
    </w:p>
    <w:p w14:paraId="71C60D2A" w14:textId="77777777" w:rsidR="00FB65B8" w:rsidRPr="00120E01" w:rsidRDefault="00120E01">
      <w:pPr>
        <w:rPr>
          <w:rFonts w:asciiTheme="majorHAnsi" w:hAnsiTheme="majorHAnsi" w:cstheme="majorHAnsi"/>
        </w:rPr>
      </w:pPr>
      <w:r w:rsidRPr="00120E01">
        <w:rPr>
          <w:rFonts w:asciiTheme="majorHAnsi" w:hAnsiTheme="majorHAnsi" w:cstheme="majorHAnsi"/>
        </w:rPr>
        <w:t>Maintain clear records of AI implementation decisions, data sources, risk assessments, and audit results.</w:t>
      </w:r>
    </w:p>
    <w:p w14:paraId="55F3E597" w14:textId="77777777" w:rsidR="00FB65B8" w:rsidRPr="00120E01" w:rsidRDefault="00120E01">
      <w:pPr>
        <w:pStyle w:val="Heading2"/>
        <w:rPr>
          <w:rFonts w:cstheme="majorHAnsi"/>
        </w:rPr>
      </w:pPr>
      <w:r w:rsidRPr="00120E01">
        <w:rPr>
          <w:rFonts w:cstheme="majorHAnsi"/>
        </w:rPr>
        <w:t>Avoid Over-Automation</w:t>
      </w:r>
    </w:p>
    <w:p w14:paraId="08BBA9E6" w14:textId="77777777" w:rsidR="00FB65B8" w:rsidRPr="00120E01" w:rsidRDefault="00120E01">
      <w:pPr>
        <w:rPr>
          <w:rFonts w:asciiTheme="majorHAnsi" w:hAnsiTheme="majorHAnsi" w:cstheme="majorHAnsi"/>
        </w:rPr>
      </w:pPr>
      <w:r w:rsidRPr="00120E01">
        <w:rPr>
          <w:rFonts w:asciiTheme="majorHAnsi" w:hAnsiTheme="majorHAnsi" w:cstheme="majorHAnsi"/>
        </w:rPr>
        <w:t>Use caution when automating complex or sensitive tasks. AI should not make final decisions on employment or legal matters.</w:t>
      </w:r>
    </w:p>
    <w:p w14:paraId="2271A071" w14:textId="77777777" w:rsidR="00FB65B8" w:rsidRPr="00120E01" w:rsidRDefault="00120E01">
      <w:pPr>
        <w:pStyle w:val="Heading2"/>
        <w:rPr>
          <w:rFonts w:cstheme="majorHAnsi"/>
        </w:rPr>
      </w:pPr>
      <w:r w:rsidRPr="00120E01">
        <w:rPr>
          <w:rFonts w:cstheme="majorHAnsi"/>
        </w:rPr>
        <w:t>Train the Workforce</w:t>
      </w:r>
    </w:p>
    <w:p w14:paraId="7C24D841" w14:textId="77777777" w:rsidR="00FB65B8" w:rsidRPr="00120E01" w:rsidRDefault="00120E01">
      <w:pPr>
        <w:rPr>
          <w:rFonts w:asciiTheme="majorHAnsi" w:hAnsiTheme="majorHAnsi" w:cstheme="majorHAnsi"/>
        </w:rPr>
      </w:pPr>
      <w:r w:rsidRPr="00120E01">
        <w:rPr>
          <w:rFonts w:asciiTheme="majorHAnsi" w:hAnsiTheme="majorHAnsi" w:cstheme="majorHAnsi"/>
        </w:rPr>
        <w:t>Educate employees on how AI is used in their roles, and provide specialized training for those overseeing or developing AI tools.</w:t>
      </w:r>
    </w:p>
    <w:p w14:paraId="2C892136" w14:textId="77777777" w:rsidR="00FB65B8" w:rsidRPr="00120E01" w:rsidRDefault="00120E01">
      <w:pPr>
        <w:pStyle w:val="Heading2"/>
        <w:rPr>
          <w:rFonts w:cstheme="majorHAnsi"/>
        </w:rPr>
      </w:pPr>
      <w:r w:rsidRPr="00120E01">
        <w:rPr>
          <w:rFonts w:cstheme="majorHAnsi"/>
        </w:rPr>
        <w:t>Follow Regulatory Trends</w:t>
      </w:r>
    </w:p>
    <w:p w14:paraId="23CBE82A" w14:textId="77777777" w:rsidR="00FB65B8" w:rsidRPr="00120E01" w:rsidRDefault="00120E01">
      <w:pPr>
        <w:rPr>
          <w:rFonts w:asciiTheme="majorHAnsi" w:hAnsiTheme="majorHAnsi" w:cstheme="majorHAnsi"/>
        </w:rPr>
      </w:pPr>
      <w:r w:rsidRPr="00120E01">
        <w:rPr>
          <w:rFonts w:asciiTheme="majorHAnsi" w:hAnsiTheme="majorHAnsi" w:cstheme="majorHAnsi"/>
        </w:rPr>
        <w:t>Stay updated on emerging regulations such as the EU AI Act, NYC Local Law 144, and NIST's AI Risk Management Framework.</w:t>
      </w:r>
    </w:p>
    <w:p w14:paraId="60965B0A" w14:textId="77777777" w:rsidR="00FB65B8" w:rsidRPr="00120E01" w:rsidRDefault="00120E01">
      <w:pPr>
        <w:pStyle w:val="Heading2"/>
        <w:rPr>
          <w:rFonts w:cstheme="majorHAnsi"/>
        </w:rPr>
      </w:pPr>
      <w:r w:rsidRPr="00120E01">
        <w:rPr>
          <w:rFonts w:cstheme="majorHAnsi"/>
        </w:rPr>
        <w:t>Ensure Accessibility</w:t>
      </w:r>
    </w:p>
    <w:p w14:paraId="032F68ED" w14:textId="77777777" w:rsidR="00FB65B8" w:rsidRPr="00120E01" w:rsidRDefault="00120E01">
      <w:pPr>
        <w:rPr>
          <w:rFonts w:asciiTheme="majorHAnsi" w:hAnsiTheme="majorHAnsi" w:cstheme="majorHAnsi"/>
        </w:rPr>
      </w:pPr>
      <w:r w:rsidRPr="00120E01">
        <w:rPr>
          <w:rFonts w:asciiTheme="majorHAnsi" w:hAnsiTheme="majorHAnsi" w:cstheme="majorHAnsi"/>
        </w:rPr>
        <w:t>AI tools must be inclusive and meet accessibility standards such as WCAG and ADA guidelines.</w:t>
      </w:r>
    </w:p>
    <w:p w14:paraId="4CD8FADA" w14:textId="77777777" w:rsidR="00FB65B8" w:rsidRPr="00120E01" w:rsidRDefault="00120E01">
      <w:pPr>
        <w:pStyle w:val="Heading2"/>
        <w:rPr>
          <w:rFonts w:cstheme="majorHAnsi"/>
        </w:rPr>
      </w:pPr>
      <w:r w:rsidRPr="00120E01">
        <w:rPr>
          <w:rFonts w:cstheme="majorHAnsi"/>
        </w:rPr>
        <w:lastRenderedPageBreak/>
        <w:t>Vet Vendors Thoroughly</w:t>
      </w:r>
    </w:p>
    <w:p w14:paraId="3B1C643A" w14:textId="77777777" w:rsidR="00FB65B8" w:rsidRPr="00120E01" w:rsidRDefault="00120E01">
      <w:pPr>
        <w:rPr>
          <w:rFonts w:asciiTheme="majorHAnsi" w:hAnsiTheme="majorHAnsi" w:cstheme="majorHAnsi"/>
        </w:rPr>
      </w:pPr>
      <w:r w:rsidRPr="00120E01">
        <w:rPr>
          <w:rFonts w:asciiTheme="majorHAnsi" w:hAnsiTheme="majorHAnsi" w:cstheme="majorHAnsi"/>
        </w:rPr>
        <w:t>Evaluate third-party AI tools for data privacy, algorithmic bias, transparency, and security before adoption.</w:t>
      </w:r>
    </w:p>
    <w:sectPr w:rsidR="00FB65B8" w:rsidRPr="00120E0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5395255">
    <w:abstractNumId w:val="8"/>
  </w:num>
  <w:num w:numId="2" w16cid:durableId="1136679653">
    <w:abstractNumId w:val="6"/>
  </w:num>
  <w:num w:numId="3" w16cid:durableId="1040204423">
    <w:abstractNumId w:val="5"/>
  </w:num>
  <w:num w:numId="4" w16cid:durableId="1391228398">
    <w:abstractNumId w:val="4"/>
  </w:num>
  <w:num w:numId="5" w16cid:durableId="1360621780">
    <w:abstractNumId w:val="7"/>
  </w:num>
  <w:num w:numId="6" w16cid:durableId="1779065502">
    <w:abstractNumId w:val="3"/>
  </w:num>
  <w:num w:numId="7" w16cid:durableId="507601551">
    <w:abstractNumId w:val="2"/>
  </w:num>
  <w:num w:numId="8" w16cid:durableId="1439377247">
    <w:abstractNumId w:val="1"/>
  </w:num>
  <w:num w:numId="9" w16cid:durableId="211192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5C09"/>
    <w:rsid w:val="00120E01"/>
    <w:rsid w:val="0015074B"/>
    <w:rsid w:val="0029639D"/>
    <w:rsid w:val="00326F90"/>
    <w:rsid w:val="00AA1D8D"/>
    <w:rsid w:val="00B47730"/>
    <w:rsid w:val="00CB0664"/>
    <w:rsid w:val="00FB65B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D16E5"/>
  <w14:defaultImageDpi w14:val="300"/>
  <w15:docId w15:val="{3D61001B-2F85-408D-90B9-6B826168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30A4D76DFCF4FA5A96F81E4AF3EF3" ma:contentTypeVersion="16" ma:contentTypeDescription="Create a new document." ma:contentTypeScope="" ma:versionID="874a56132bdaff1631736907111cd7ed">
  <xsd:schema xmlns:xsd="http://www.w3.org/2001/XMLSchema" xmlns:xs="http://www.w3.org/2001/XMLSchema" xmlns:p="http://schemas.microsoft.com/office/2006/metadata/properties" xmlns:ns2="a73fb70c-9e4f-4cdf-a77e-d246741e7dd1" xmlns:ns3="efe84cf4-fa74-49c2-846f-2d7b42c4a90f" targetNamespace="http://schemas.microsoft.com/office/2006/metadata/properties" ma:root="true" ma:fieldsID="de28076cf5a4091b2b315b4b7694060d" ns2:_="" ns3:_="">
    <xsd:import namespace="a73fb70c-9e4f-4cdf-a77e-d246741e7dd1"/>
    <xsd:import namespace="efe84cf4-fa74-49c2-846f-2d7b42c4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b70c-9e4f-4cdf-a77e-d246741e7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2a3674-3bc1-4a7b-8bf9-f6a0f3235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84cf4-fa74-49c2-846f-2d7b42c4a9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af471b-1eec-442c-a8fc-ad6da4a92668}" ma:internalName="TaxCatchAll" ma:showField="CatchAllData" ma:web="efe84cf4-fa74-49c2-846f-2d7b42c4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84cf4-fa74-49c2-846f-2d7b42c4a90f" xsi:nil="true"/>
    <lcf76f155ced4ddcb4097134ff3c332f xmlns="a73fb70c-9e4f-4cdf-a77e-d246741e7d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2EBF51-B452-426D-AAF5-91BC22C9F64F}"/>
</file>

<file path=customXml/itemProps3.xml><?xml version="1.0" encoding="utf-8"?>
<ds:datastoreItem xmlns:ds="http://schemas.openxmlformats.org/officeDocument/2006/customXml" ds:itemID="{975A9A7C-9729-49A5-85BE-B7346334AC8C}"/>
</file>

<file path=customXml/itemProps4.xml><?xml version="1.0" encoding="utf-8"?>
<ds:datastoreItem xmlns:ds="http://schemas.openxmlformats.org/officeDocument/2006/customXml" ds:itemID="{09A5D219-BE8B-48FE-A4EF-7D691AA0F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Adams</cp:lastModifiedBy>
  <cp:revision>2</cp:revision>
  <dcterms:created xsi:type="dcterms:W3CDTF">2025-05-23T15:13:00Z</dcterms:created>
  <dcterms:modified xsi:type="dcterms:W3CDTF">2025-05-23T15:13:00Z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0x010100A6C30A4D76DFCF4FA5A96F81E4AF3EF3</vt:lpwstr>
  </property>
</Properties>
</file>